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71D32" w14:textId="5971C636" w:rsidR="002775DB" w:rsidRPr="003E2F93" w:rsidRDefault="002775DB">
      <w:pPr>
        <w:pStyle w:val="Title"/>
        <w:rPr>
          <w:sz w:val="22"/>
          <w:szCs w:val="22"/>
        </w:rPr>
      </w:pPr>
      <w:r w:rsidRPr="003E2F93">
        <w:rPr>
          <w:sz w:val="22"/>
          <w:szCs w:val="22"/>
        </w:rPr>
        <w:t xml:space="preserve">CERTIFICATIONS FOR </w:t>
      </w:r>
      <w:bookmarkStart w:id="0" w:name="_Hlk142657166"/>
      <w:r w:rsidR="00CF10C5">
        <w:rPr>
          <w:sz w:val="22"/>
          <w:szCs w:val="22"/>
        </w:rPr>
        <w:t xml:space="preserve">RESEARCH OTHER TRANSACTION </w:t>
      </w:r>
      <w:bookmarkEnd w:id="0"/>
    </w:p>
    <w:p w14:paraId="72B7FF0C"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b/>
          <w:sz w:val="22"/>
          <w:szCs w:val="22"/>
        </w:rPr>
      </w:pPr>
    </w:p>
    <w:p w14:paraId="17C0612E"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b/>
          <w:sz w:val="22"/>
          <w:szCs w:val="22"/>
        </w:rPr>
      </w:pPr>
    </w:p>
    <w:p w14:paraId="4A5CD1E4"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 xml:space="preserve">1.  </w:t>
      </w:r>
      <w:r w:rsidRPr="003E2F93">
        <w:rPr>
          <w:sz w:val="22"/>
          <w:szCs w:val="22"/>
        </w:rPr>
        <w:tab/>
        <w:t xml:space="preserve">The undersigned certifies, to the best of his or her knowledge and belief, that this institution, organization, and its principals: </w:t>
      </w:r>
    </w:p>
    <w:p w14:paraId="65ECE9CC"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4CD22C5F"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t>(a) Pursuant to Executive Order 12549 and implementing rule, are not presently debarred, suspended, proposed for debarment, declared ineligible or voluntarily excluded from covered transactions by any Federal department or agency.</w:t>
      </w:r>
    </w:p>
    <w:p w14:paraId="35FD1C9E"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4A3FA6A6"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t>(b) Pursuant to Public Law 100-690 and implementing final rule, effective 24 July 1990, will provide a drug-free workplace.  The place of performance is:</w:t>
      </w:r>
    </w:p>
    <w:p w14:paraId="06E91290"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3679D323"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__________________________________________________________________________________________</w:t>
      </w:r>
    </w:p>
    <w:p w14:paraId="7AA5C1B9"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[Street Address]</w:t>
      </w:r>
      <w:r w:rsidRPr="003E2F93">
        <w:rPr>
          <w:sz w:val="22"/>
          <w:szCs w:val="22"/>
        </w:rPr>
        <w:tab/>
      </w:r>
      <w:r w:rsidRPr="003E2F93">
        <w:rPr>
          <w:sz w:val="22"/>
          <w:szCs w:val="22"/>
        </w:rPr>
        <w:tab/>
      </w:r>
      <w:r w:rsidRPr="003E2F93">
        <w:rPr>
          <w:sz w:val="22"/>
          <w:szCs w:val="22"/>
        </w:rPr>
        <w:tab/>
      </w:r>
      <w:r w:rsidRPr="003E2F93">
        <w:rPr>
          <w:sz w:val="22"/>
          <w:szCs w:val="22"/>
        </w:rPr>
        <w:tab/>
      </w:r>
      <w:r w:rsidRPr="003E2F93">
        <w:rPr>
          <w:sz w:val="22"/>
          <w:szCs w:val="22"/>
        </w:rPr>
        <w:tab/>
        <w:t>[City, County, State]</w:t>
      </w:r>
      <w:r w:rsidRPr="003E2F93">
        <w:rPr>
          <w:sz w:val="22"/>
          <w:szCs w:val="22"/>
        </w:rPr>
        <w:tab/>
      </w:r>
      <w:r w:rsidRPr="003E2F93">
        <w:rPr>
          <w:sz w:val="22"/>
          <w:szCs w:val="22"/>
        </w:rPr>
        <w:tab/>
      </w:r>
      <w:r w:rsidRPr="003E2F93">
        <w:rPr>
          <w:sz w:val="22"/>
          <w:szCs w:val="22"/>
        </w:rPr>
        <w:tab/>
      </w:r>
      <w:r w:rsidRPr="003E2F93">
        <w:rPr>
          <w:sz w:val="22"/>
          <w:szCs w:val="22"/>
        </w:rPr>
        <w:tab/>
        <w:t>[Zip code]</w:t>
      </w:r>
    </w:p>
    <w:p w14:paraId="4405D882"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2F4FC846"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t>(c) Is in compliance with the provisions of DoD Directive 5500.11, “Nondiscrimination in Federally Assisted Programs”, which implements Title VI of the Civil Rights Act of 1964.</w:t>
      </w:r>
    </w:p>
    <w:p w14:paraId="22C2DF20"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28F6A339"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 xml:space="preserve">2.  </w:t>
      </w:r>
      <w:r w:rsidRPr="003E2F93">
        <w:rPr>
          <w:sz w:val="22"/>
          <w:szCs w:val="22"/>
        </w:rPr>
        <w:tab/>
        <w:t>The following certification applies only to actions exceeding $100,000.00:</w:t>
      </w:r>
    </w:p>
    <w:p w14:paraId="18E077F5"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7666B8F5"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Section 1352, Title 31, U.S.C. (Public Law 101-121, Section 319) entitled, "Limitation on use of appropriated funds to influence certain Federal contracting and financial transactions."</w:t>
      </w:r>
    </w:p>
    <w:p w14:paraId="5DD28FBB"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71E0D52B"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r>
      <w:r w:rsidRPr="003E2F93">
        <w:rPr>
          <w:sz w:val="22"/>
          <w:szCs w:val="22"/>
        </w:rPr>
        <w:tab/>
        <w:t>(1)  No Federal appropriated funds have been paid or will be paid by or on behalf of the undersigned, to any person for influencing or attempting to influence an officer or employee of an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cooperative agreement, or other transaction.</w:t>
      </w:r>
    </w:p>
    <w:p w14:paraId="595EC376"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237D74FD"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r>
      <w:r w:rsidRPr="003E2F93">
        <w:rPr>
          <w:sz w:val="22"/>
          <w:szCs w:val="22"/>
        </w:rPr>
        <w:tab/>
        <w:t>(2)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the Federal contract, grant, loan, cooperative agreement, or other transaction, the undersigned shall complete and submit Standard Form LLL, "Disclosure Form to Report Lobbying," in accordance with its instructions.</w:t>
      </w:r>
    </w:p>
    <w:p w14:paraId="1EFDCFB3"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0A15CBF0"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r>
      <w:r w:rsidRPr="003E2F93">
        <w:rPr>
          <w:sz w:val="22"/>
          <w:szCs w:val="22"/>
        </w:rPr>
        <w:tab/>
        <w:t xml:space="preserve">(3)  The undersigned shall require that the language of this certification be included in the award documents for all subawards at all tiers (including subcontracts, subgrants, and contracts under grants, </w:t>
      </w:r>
      <w:proofErr w:type="gramStart"/>
      <w:r w:rsidRPr="003E2F93">
        <w:rPr>
          <w:sz w:val="22"/>
          <w:szCs w:val="22"/>
        </w:rPr>
        <w:t>loans,  cooperative</w:t>
      </w:r>
      <w:proofErr w:type="gramEnd"/>
      <w:r w:rsidRPr="003E2F93">
        <w:rPr>
          <w:sz w:val="22"/>
          <w:szCs w:val="22"/>
        </w:rPr>
        <w:t xml:space="preserve"> agreements and other transactions) and that all subrecipients shall certify and disclose accordingly.</w:t>
      </w:r>
    </w:p>
    <w:p w14:paraId="013D7BBA"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r>
    </w:p>
    <w:p w14:paraId="2EC03143" w14:textId="77777777" w:rsidR="00CB154D" w:rsidRPr="003E2F93" w:rsidRDefault="002775DB" w:rsidP="00CB154D">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ab/>
        <w:t>This certification is a material representation of fact upon which reliance was placed when this transaction was made or entered into.  Submission of this certification is a prerequisite for making or entering into this transaction imposed by Section 1352, Title 31, U. S. Code.  Any person who fails to file the required certification shall be subject to a civil penalty of not less than $10,000.00 and not more than $100,000.00 for each such failure.</w:t>
      </w:r>
    </w:p>
    <w:p w14:paraId="1E2EB501" w14:textId="77777777" w:rsidR="004B4897" w:rsidRDefault="004B4897" w:rsidP="004B4897">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00E2A84B" w14:textId="77777777" w:rsidR="003E2F93" w:rsidRDefault="004B4897" w:rsidP="004B4897">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caps/>
          <w:color w:val="auto"/>
          <w:sz w:val="22"/>
          <w:szCs w:val="22"/>
        </w:rPr>
      </w:pPr>
      <w:r>
        <w:rPr>
          <w:sz w:val="22"/>
          <w:szCs w:val="22"/>
        </w:rPr>
        <w:br w:type="page"/>
      </w:r>
      <w:r>
        <w:rPr>
          <w:sz w:val="22"/>
          <w:szCs w:val="22"/>
        </w:rPr>
        <w:lastRenderedPageBreak/>
        <w:t>3.</w:t>
      </w:r>
      <w:r w:rsidR="003E2F93">
        <w:rPr>
          <w:b/>
          <w:caps/>
          <w:color w:val="auto"/>
          <w:sz w:val="22"/>
          <w:szCs w:val="22"/>
        </w:rPr>
        <w:tab/>
      </w:r>
      <w:r w:rsidR="003E2F93" w:rsidRPr="004B4897">
        <w:rPr>
          <w:caps/>
          <w:color w:val="auto"/>
          <w:sz w:val="22"/>
          <w:szCs w:val="22"/>
        </w:rPr>
        <w:t xml:space="preserve">Representation by Corporations Regarding an Unpaid Delinquent Tax Liability or a Felony Conviction under any Federal Law </w:t>
      </w:r>
    </w:p>
    <w:p w14:paraId="125EF491" w14:textId="77777777" w:rsidR="004B4897" w:rsidRPr="004B4897" w:rsidRDefault="004B4897" w:rsidP="004B4897">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5FD91A0E" w14:textId="77777777" w:rsidR="003E2F93" w:rsidRPr="00EC7F7D" w:rsidRDefault="00E45E82" w:rsidP="00822384">
      <w:pPr>
        <w:pStyle w:val="NormalWeb"/>
        <w:numPr>
          <w:ilvl w:val="0"/>
          <w:numId w:val="7"/>
        </w:numPr>
        <w:rPr>
          <w:sz w:val="22"/>
          <w:szCs w:val="22"/>
        </w:rPr>
      </w:pPr>
      <w:r>
        <w:rPr>
          <w:sz w:val="22"/>
          <w:szCs w:val="22"/>
        </w:rPr>
        <w:t>In accordance with the Continuing Appropriations Act, 2017 (Pub. L. 115-31) and any subsequent appropriations act that extends to FY17 funds, none</w:t>
      </w:r>
      <w:r w:rsidR="00321DE5" w:rsidRPr="00E45E82">
        <w:rPr>
          <w:sz w:val="22"/>
          <w:szCs w:val="22"/>
        </w:rPr>
        <w:t xml:space="preserve"> of the funds made available by this or any other Act may be used to enter into a contract with any corporation</w:t>
      </w:r>
      <w:r w:rsidR="00321DE5" w:rsidRPr="00EC7F7D">
        <w:rPr>
          <w:sz w:val="22"/>
          <w:szCs w:val="22"/>
        </w:rPr>
        <w:t xml:space="preserve"> that</w:t>
      </w:r>
      <w:r w:rsidR="00321DE5" w:rsidRPr="00EC7F7D">
        <w:rPr>
          <w:sz w:val="20"/>
          <w:szCs w:val="20"/>
        </w:rPr>
        <w:t xml:space="preserve"> </w:t>
      </w:r>
      <w:r w:rsidR="00272AA7" w:rsidRPr="00EC7F7D">
        <w:rPr>
          <w:sz w:val="22"/>
          <w:szCs w:val="22"/>
        </w:rPr>
        <w:t xml:space="preserve">-- </w:t>
      </w:r>
    </w:p>
    <w:p w14:paraId="26C981B3" w14:textId="77777777" w:rsidR="003E2F93" w:rsidRPr="003E2F93" w:rsidRDefault="003E2F93" w:rsidP="003E2F93">
      <w:pPr>
        <w:pStyle w:val="NormalWeb"/>
        <w:ind w:left="720"/>
        <w:rPr>
          <w:sz w:val="22"/>
          <w:szCs w:val="22"/>
        </w:rPr>
      </w:pPr>
      <w:r w:rsidRPr="003E2F93">
        <w:rPr>
          <w:sz w:val="22"/>
          <w:szCs w:val="22"/>
        </w:rPr>
        <w:t>(1)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is aware of the unpaid tax liability, unless the agency has considered suspension or debarment of the corporation and made a determination that this further action is not necessary to protect the interests of the Government; or</w:t>
      </w:r>
    </w:p>
    <w:p w14:paraId="1B81781C" w14:textId="77777777" w:rsidR="003E2F93" w:rsidRPr="003E2F93" w:rsidRDefault="003E2F93" w:rsidP="003E2F93">
      <w:pPr>
        <w:pStyle w:val="NormalWeb"/>
        <w:ind w:left="720"/>
        <w:rPr>
          <w:sz w:val="22"/>
          <w:szCs w:val="22"/>
        </w:rPr>
      </w:pPr>
      <w:r w:rsidRPr="003E2F93">
        <w:rPr>
          <w:sz w:val="22"/>
          <w:szCs w:val="22"/>
        </w:rPr>
        <w:t>(2) Was convicted of a felony criminal violation under any Federal law within the preceding 24 months, where the awarding agency is aware of the conviction, unless the agency has considered suspension or debarment of the corporation and made a determination that this action is not necessary to protect the interests of the Government.</w:t>
      </w:r>
    </w:p>
    <w:p w14:paraId="50E999F8" w14:textId="77777777" w:rsidR="003E2F93" w:rsidRPr="003E2F93" w:rsidRDefault="003E2F93" w:rsidP="003E2F93">
      <w:pPr>
        <w:pStyle w:val="Style1"/>
        <w:numPr>
          <w:ilvl w:val="0"/>
          <w:numId w:val="0"/>
        </w:numPr>
        <w:spacing w:before="100" w:beforeAutospacing="1" w:after="100" w:afterAutospacing="1" w:line="240" w:lineRule="auto"/>
        <w:jc w:val="both"/>
        <w:rPr>
          <w:color w:val="auto"/>
          <w:sz w:val="22"/>
          <w:szCs w:val="22"/>
        </w:rPr>
      </w:pPr>
    </w:p>
    <w:p w14:paraId="2CC4AA18" w14:textId="77777777" w:rsidR="003E2F93" w:rsidRPr="003E2F93" w:rsidRDefault="003E2F93" w:rsidP="003E2F93">
      <w:pPr>
        <w:pStyle w:val="Style1"/>
        <w:numPr>
          <w:ilvl w:val="0"/>
          <w:numId w:val="0"/>
        </w:numPr>
        <w:spacing w:before="100" w:beforeAutospacing="1" w:after="100" w:afterAutospacing="1" w:line="240" w:lineRule="auto"/>
        <w:ind w:left="360"/>
        <w:jc w:val="both"/>
        <w:rPr>
          <w:color w:val="auto"/>
          <w:sz w:val="22"/>
          <w:szCs w:val="22"/>
        </w:rPr>
      </w:pPr>
      <w:r w:rsidRPr="003E2F93">
        <w:rPr>
          <w:color w:val="auto"/>
          <w:sz w:val="22"/>
          <w:szCs w:val="22"/>
        </w:rPr>
        <w:t xml:space="preserve">(b)  The Offeror represents that – </w:t>
      </w:r>
    </w:p>
    <w:p w14:paraId="0FBE1CE2" w14:textId="77777777" w:rsidR="003E2F93" w:rsidRPr="003E2F93" w:rsidRDefault="003E2F93" w:rsidP="003E2F93">
      <w:pPr>
        <w:pStyle w:val="Style1"/>
        <w:numPr>
          <w:ilvl w:val="0"/>
          <w:numId w:val="0"/>
        </w:numPr>
        <w:spacing w:before="100" w:beforeAutospacing="1" w:after="100" w:afterAutospacing="1" w:line="240" w:lineRule="auto"/>
        <w:ind w:left="360"/>
        <w:jc w:val="both"/>
        <w:rPr>
          <w:color w:val="auto"/>
          <w:sz w:val="22"/>
          <w:szCs w:val="22"/>
        </w:rPr>
      </w:pPr>
    </w:p>
    <w:p w14:paraId="0B66CC7E" w14:textId="77777777" w:rsidR="003E2F93" w:rsidRPr="003E2F93" w:rsidRDefault="003E2F93" w:rsidP="003E2F93">
      <w:pPr>
        <w:pStyle w:val="Style1"/>
        <w:numPr>
          <w:ilvl w:val="0"/>
          <w:numId w:val="0"/>
        </w:numPr>
        <w:spacing w:before="100" w:beforeAutospacing="1" w:after="100" w:afterAutospacing="1" w:line="240" w:lineRule="auto"/>
        <w:ind w:left="1080" w:hanging="360"/>
        <w:jc w:val="both"/>
        <w:rPr>
          <w:color w:val="auto"/>
          <w:sz w:val="22"/>
          <w:szCs w:val="22"/>
        </w:rPr>
      </w:pPr>
      <w:r w:rsidRPr="003E2F93">
        <w:rPr>
          <w:color w:val="auto"/>
          <w:sz w:val="22"/>
          <w:szCs w:val="22"/>
        </w:rPr>
        <w:tab/>
        <w:t xml:space="preserve">(1) It is [ </w:t>
      </w:r>
      <w:proofErr w:type="gramStart"/>
      <w:r w:rsidRPr="003E2F93">
        <w:rPr>
          <w:color w:val="auto"/>
          <w:sz w:val="22"/>
          <w:szCs w:val="22"/>
        </w:rPr>
        <w:t xml:space="preserve">  ]</w:t>
      </w:r>
      <w:proofErr w:type="gramEnd"/>
      <w:r w:rsidRPr="003E2F93">
        <w:rPr>
          <w:color w:val="auto"/>
          <w:sz w:val="22"/>
          <w:szCs w:val="22"/>
        </w:rPr>
        <w:t xml:space="preserve">  is not [   ]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01BFAEB5" w14:textId="77777777" w:rsidR="003E2F93" w:rsidRPr="003E2F93" w:rsidRDefault="003E2F93" w:rsidP="003E2F93">
      <w:pPr>
        <w:pStyle w:val="Style1"/>
        <w:numPr>
          <w:ilvl w:val="0"/>
          <w:numId w:val="0"/>
        </w:numPr>
        <w:spacing w:before="100" w:beforeAutospacing="1" w:after="100" w:afterAutospacing="1" w:line="240" w:lineRule="auto"/>
        <w:ind w:left="1080" w:hanging="360"/>
        <w:jc w:val="both"/>
        <w:rPr>
          <w:color w:val="auto"/>
          <w:sz w:val="22"/>
          <w:szCs w:val="22"/>
        </w:rPr>
      </w:pPr>
    </w:p>
    <w:p w14:paraId="319DFA52" w14:textId="77777777" w:rsidR="007E27BD" w:rsidRDefault="003E2F93" w:rsidP="007E27BD">
      <w:pPr>
        <w:pStyle w:val="Style1"/>
        <w:numPr>
          <w:ilvl w:val="0"/>
          <w:numId w:val="0"/>
        </w:numPr>
        <w:spacing w:before="100" w:beforeAutospacing="1" w:after="100" w:afterAutospacing="1" w:line="240" w:lineRule="auto"/>
        <w:ind w:left="1080" w:hanging="360"/>
        <w:jc w:val="both"/>
        <w:rPr>
          <w:color w:val="auto"/>
          <w:sz w:val="22"/>
          <w:szCs w:val="22"/>
        </w:rPr>
      </w:pPr>
      <w:r w:rsidRPr="003E2F93">
        <w:rPr>
          <w:color w:val="auto"/>
          <w:sz w:val="22"/>
          <w:szCs w:val="22"/>
        </w:rPr>
        <w:tab/>
        <w:t>(2)</w:t>
      </w:r>
      <w:r w:rsidRPr="003E2F93">
        <w:rPr>
          <w:color w:val="auto"/>
          <w:sz w:val="22"/>
          <w:szCs w:val="22"/>
        </w:rPr>
        <w:tab/>
        <w:t xml:space="preserve">It is [ </w:t>
      </w:r>
      <w:proofErr w:type="gramStart"/>
      <w:r w:rsidRPr="003E2F93">
        <w:rPr>
          <w:color w:val="auto"/>
          <w:sz w:val="22"/>
          <w:szCs w:val="22"/>
        </w:rPr>
        <w:t xml:space="preserve">  ]</w:t>
      </w:r>
      <w:proofErr w:type="gramEnd"/>
      <w:r w:rsidRPr="003E2F93">
        <w:rPr>
          <w:color w:val="auto"/>
          <w:sz w:val="22"/>
          <w:szCs w:val="22"/>
        </w:rPr>
        <w:t xml:space="preserve">   is not [  ] a corporation that was convicted of a felony criminal violation under a Federal law within the preceding 24 months.</w:t>
      </w:r>
    </w:p>
    <w:p w14:paraId="1498E7D9" w14:textId="77777777" w:rsidR="007E27BD" w:rsidRDefault="007E27BD" w:rsidP="007E27BD">
      <w:pPr>
        <w:pStyle w:val="Style1"/>
        <w:numPr>
          <w:ilvl w:val="0"/>
          <w:numId w:val="0"/>
        </w:numPr>
        <w:spacing w:before="100" w:beforeAutospacing="1" w:after="100" w:afterAutospacing="1" w:line="240" w:lineRule="auto"/>
        <w:ind w:left="360" w:hanging="360"/>
        <w:jc w:val="both"/>
        <w:rPr>
          <w:color w:val="auto"/>
          <w:sz w:val="22"/>
          <w:szCs w:val="22"/>
        </w:rPr>
      </w:pPr>
    </w:p>
    <w:p w14:paraId="490321F5" w14:textId="77777777" w:rsidR="007E27BD" w:rsidRDefault="007E27BD" w:rsidP="007E27BD">
      <w:pPr>
        <w:pStyle w:val="Style1"/>
        <w:numPr>
          <w:ilvl w:val="0"/>
          <w:numId w:val="0"/>
        </w:numPr>
        <w:spacing w:before="100" w:beforeAutospacing="1" w:after="100" w:afterAutospacing="1" w:line="240" w:lineRule="auto"/>
        <w:ind w:left="360" w:hanging="360"/>
        <w:jc w:val="both"/>
        <w:rPr>
          <w:color w:val="auto"/>
          <w:sz w:val="22"/>
          <w:szCs w:val="22"/>
        </w:rPr>
      </w:pPr>
      <w:r>
        <w:rPr>
          <w:color w:val="auto"/>
          <w:sz w:val="22"/>
          <w:szCs w:val="22"/>
        </w:rPr>
        <w:t xml:space="preserve">4. </w:t>
      </w:r>
      <w:r>
        <w:rPr>
          <w:color w:val="auto"/>
          <w:sz w:val="22"/>
          <w:szCs w:val="22"/>
        </w:rPr>
        <w:tab/>
        <w:t xml:space="preserve">PROHIBITION ON CONTRACTING WITH ENTITIES THAT REQUIRE CERTAIN INTERNAL CONFIDENTIALITY AGREEMENTS </w:t>
      </w:r>
    </w:p>
    <w:p w14:paraId="183AA1B4" w14:textId="77777777" w:rsidR="00E45E82" w:rsidRDefault="00E45E82" w:rsidP="00A10554">
      <w:pPr>
        <w:tabs>
          <w:tab w:val="left" w:pos="360"/>
        </w:tabs>
        <w:spacing w:line="240" w:lineRule="exact"/>
        <w:rPr>
          <w:rFonts w:ascii="Century Schoolbook" w:hAnsi="Century Schoolbook" w:cs="Courier New"/>
          <w:sz w:val="22"/>
          <w:szCs w:val="22"/>
          <w:lang w:val="en"/>
        </w:rPr>
      </w:pPr>
      <w:bookmarkStart w:id="1" w:name="wp1147292"/>
      <w:bookmarkStart w:id="2" w:name="wp1147293"/>
      <w:bookmarkEnd w:id="1"/>
      <w:bookmarkEnd w:id="2"/>
    </w:p>
    <w:p w14:paraId="1C5A26DF" w14:textId="77777777" w:rsidR="00A10554" w:rsidRDefault="00E45E82" w:rsidP="00E45E82">
      <w:pPr>
        <w:numPr>
          <w:ilvl w:val="0"/>
          <w:numId w:val="9"/>
        </w:numPr>
        <w:tabs>
          <w:tab w:val="left" w:pos="360"/>
        </w:tabs>
        <w:spacing w:line="240" w:lineRule="exact"/>
        <w:rPr>
          <w:sz w:val="22"/>
          <w:szCs w:val="22"/>
        </w:rPr>
      </w:pPr>
      <w:r>
        <w:rPr>
          <w:sz w:val="22"/>
          <w:szCs w:val="22"/>
        </w:rPr>
        <w:t xml:space="preserve">In accordance with the Continuing Appropriations Act, 2017 (Pub. L. 115-31) and any subsequent appropriations act that extends to FY17 funds, </w:t>
      </w:r>
      <w:r w:rsidR="00A10554" w:rsidRPr="00A10554">
        <w:rPr>
          <w:sz w:val="22"/>
          <w:szCs w:val="22"/>
        </w:rPr>
        <w:t xml:space="preserve">none of </w:t>
      </w:r>
      <w:r w:rsidR="00A10554" w:rsidRPr="00A10554">
        <w:rPr>
          <w:iCs/>
          <w:sz w:val="22"/>
          <w:szCs w:val="22"/>
        </w:rPr>
        <w:t xml:space="preserve"> the funds appropriated (or otherwise made available) by this or any other Act may be used for a contract </w:t>
      </w:r>
      <w:r w:rsidR="00A10554" w:rsidRPr="00A10554">
        <w:rPr>
          <w:sz w:val="22"/>
          <w:szCs w:val="22"/>
          <w:lang w:val="en"/>
        </w:rPr>
        <w:t xml:space="preserve">with an entity that </w:t>
      </w:r>
      <w:r w:rsidR="00A10554" w:rsidRPr="00A10554">
        <w:rPr>
          <w:sz w:val="22"/>
          <w:szCs w:val="22"/>
        </w:rPr>
        <w:t>requires employees or subcontractors of such entity seeking to report fraud, waste, or abuse to sign internal confidentiality agreements or statements prohibiting or otherwise restricting such employees or contactors from lawfully reporting such waste, fraud, or abuse to a designated investigative or law enforcement representative of a Federal department or agency authorized to receive such information.</w:t>
      </w:r>
    </w:p>
    <w:p w14:paraId="4992007E" w14:textId="77777777" w:rsidR="00E45E82" w:rsidRDefault="00E45E82" w:rsidP="00E45E82">
      <w:pPr>
        <w:tabs>
          <w:tab w:val="left" w:pos="360"/>
        </w:tabs>
        <w:spacing w:line="240" w:lineRule="exact"/>
        <w:rPr>
          <w:sz w:val="22"/>
          <w:szCs w:val="22"/>
        </w:rPr>
      </w:pPr>
    </w:p>
    <w:p w14:paraId="0129C68E" w14:textId="77777777" w:rsidR="00A10554" w:rsidRPr="00A10554" w:rsidRDefault="00A10554" w:rsidP="00E45E82">
      <w:pPr>
        <w:pStyle w:val="pbody"/>
        <w:numPr>
          <w:ilvl w:val="0"/>
          <w:numId w:val="9"/>
        </w:numPr>
        <w:tabs>
          <w:tab w:val="left" w:pos="360"/>
        </w:tabs>
        <w:spacing w:line="240" w:lineRule="exact"/>
        <w:rPr>
          <w:rFonts w:ascii="Times New Roman" w:hAnsi="Times New Roman" w:cs="Times New Roman"/>
          <w:sz w:val="22"/>
          <w:szCs w:val="22"/>
          <w:lang w:val="en"/>
        </w:rPr>
      </w:pPr>
      <w:r w:rsidRPr="00A10554">
        <w:rPr>
          <w:rFonts w:ascii="Times New Roman" w:hAnsi="Times New Roman" w:cs="Times New Roman"/>
          <w:sz w:val="22"/>
          <w:szCs w:val="22"/>
        </w:rPr>
        <w:t xml:space="preserve">The prohibition in paragraph (a) of this provision does not contravene requirements applicable to Standard Form 312, Form 4414, or any other form issued by a </w:t>
      </w:r>
      <w:proofErr w:type="gramStart"/>
      <w:r w:rsidRPr="00A10554">
        <w:rPr>
          <w:rFonts w:ascii="Times New Roman" w:hAnsi="Times New Roman" w:cs="Times New Roman"/>
          <w:sz w:val="22"/>
          <w:szCs w:val="22"/>
        </w:rPr>
        <w:t>Federal</w:t>
      </w:r>
      <w:proofErr w:type="gramEnd"/>
      <w:r w:rsidRPr="00A10554">
        <w:rPr>
          <w:rFonts w:ascii="Times New Roman" w:hAnsi="Times New Roman" w:cs="Times New Roman"/>
          <w:sz w:val="22"/>
          <w:szCs w:val="22"/>
        </w:rPr>
        <w:t xml:space="preserve"> department or agency governing the nondisclosure of classified information.</w:t>
      </w:r>
      <w:r w:rsidRPr="00A10554">
        <w:rPr>
          <w:rFonts w:ascii="Times New Roman" w:hAnsi="Times New Roman" w:cs="Times New Roman"/>
          <w:sz w:val="22"/>
          <w:szCs w:val="22"/>
          <w:lang w:val="en"/>
        </w:rPr>
        <w:t xml:space="preserve"> </w:t>
      </w:r>
      <w:bookmarkStart w:id="3" w:name="wp1147295"/>
      <w:bookmarkEnd w:id="3"/>
      <w:r w:rsidRPr="00A10554">
        <w:rPr>
          <w:rFonts w:ascii="Times New Roman" w:hAnsi="Times New Roman" w:cs="Times New Roman"/>
          <w:sz w:val="22"/>
          <w:szCs w:val="22"/>
          <w:lang w:val="en"/>
        </w:rPr>
        <w:br/>
      </w:r>
    </w:p>
    <w:p w14:paraId="3AB2F4D3" w14:textId="77777777" w:rsidR="006E3A41" w:rsidRDefault="00A10554" w:rsidP="006E3A41">
      <w:pPr>
        <w:numPr>
          <w:ilvl w:val="0"/>
          <w:numId w:val="9"/>
        </w:numPr>
        <w:tabs>
          <w:tab w:val="left" w:pos="360"/>
        </w:tabs>
        <w:spacing w:line="240" w:lineRule="exact"/>
        <w:rPr>
          <w:sz w:val="22"/>
          <w:szCs w:val="22"/>
        </w:rPr>
      </w:pPr>
      <w:r w:rsidRPr="00A10554">
        <w:rPr>
          <w:rStyle w:val="Emphasis"/>
          <w:sz w:val="22"/>
          <w:szCs w:val="22"/>
          <w:lang w:val="en"/>
        </w:rPr>
        <w:t>Representation</w:t>
      </w:r>
      <w:r w:rsidRPr="00A10554">
        <w:rPr>
          <w:sz w:val="22"/>
          <w:szCs w:val="22"/>
          <w:lang w:val="en"/>
        </w:rPr>
        <w:t xml:space="preserve">.  By submission of its offer, the Offeror represents that it does not </w:t>
      </w:r>
      <w:r w:rsidRPr="00A10554">
        <w:rPr>
          <w:sz w:val="22"/>
          <w:szCs w:val="22"/>
        </w:rPr>
        <w:t xml:space="preserve">require employees or subcontractors of such entity seeking to report fraud, waste, or abuse to sign or comply with internal confidentiality agreements or statements prohibiting or otherwise restricting such employees or contactors from lawfully reporting such waste, fraud, or abuse to a designated investigative or law enforcement representative of a </w:t>
      </w:r>
      <w:proofErr w:type="gramStart"/>
      <w:r w:rsidRPr="00A10554">
        <w:rPr>
          <w:sz w:val="22"/>
          <w:szCs w:val="22"/>
        </w:rPr>
        <w:t>Federal</w:t>
      </w:r>
      <w:proofErr w:type="gramEnd"/>
      <w:r w:rsidRPr="00A10554">
        <w:rPr>
          <w:sz w:val="22"/>
          <w:szCs w:val="22"/>
        </w:rPr>
        <w:t xml:space="preserve"> department or agency authorized to receive such information.</w:t>
      </w:r>
    </w:p>
    <w:p w14:paraId="7E67282E" w14:textId="77777777" w:rsidR="006E3A41" w:rsidRDefault="006E3A41" w:rsidP="006E3A41">
      <w:pPr>
        <w:tabs>
          <w:tab w:val="left" w:pos="360"/>
        </w:tabs>
        <w:spacing w:line="240" w:lineRule="exact"/>
        <w:rPr>
          <w:rStyle w:val="Emphasis"/>
          <w:i w:val="0"/>
          <w:sz w:val="22"/>
          <w:szCs w:val="22"/>
          <w:lang w:val="en"/>
        </w:rPr>
      </w:pPr>
    </w:p>
    <w:p w14:paraId="567D56BC" w14:textId="77777777" w:rsidR="006E3A41" w:rsidRPr="006E3A41" w:rsidRDefault="006E3A41" w:rsidP="006E3A41">
      <w:pPr>
        <w:tabs>
          <w:tab w:val="left" w:pos="360"/>
        </w:tabs>
        <w:spacing w:line="240" w:lineRule="exact"/>
        <w:rPr>
          <w:sz w:val="22"/>
          <w:szCs w:val="22"/>
        </w:rPr>
      </w:pPr>
      <w:r>
        <w:rPr>
          <w:rStyle w:val="Emphasis"/>
          <w:i w:val="0"/>
          <w:sz w:val="22"/>
          <w:szCs w:val="22"/>
          <w:lang w:val="en"/>
        </w:rPr>
        <w:t xml:space="preserve">5.  </w:t>
      </w:r>
      <w:r w:rsidRPr="006E3A41">
        <w:rPr>
          <w:sz w:val="22"/>
          <w:szCs w:val="22"/>
        </w:rPr>
        <w:t>REPRESENTATION REGARDING CERTAIN TELECOMMUNICATIONS AND VIDEO SURVEILLANCE SERVICES OR EQUIPMENT (AUG 2020)</w:t>
      </w:r>
    </w:p>
    <w:p w14:paraId="2175450A" w14:textId="77777777" w:rsidR="006E3A41" w:rsidRDefault="006E3A41" w:rsidP="006E3A41">
      <w:pPr>
        <w:tabs>
          <w:tab w:val="left" w:pos="360"/>
        </w:tabs>
        <w:spacing w:line="240" w:lineRule="exact"/>
        <w:rPr>
          <w:sz w:val="22"/>
          <w:szCs w:val="22"/>
        </w:rPr>
      </w:pPr>
    </w:p>
    <w:p w14:paraId="2AE642D6" w14:textId="77777777" w:rsidR="006E3A41" w:rsidRPr="006E3A41" w:rsidRDefault="006E3A41" w:rsidP="006E3A41">
      <w:pPr>
        <w:tabs>
          <w:tab w:val="left" w:pos="360"/>
        </w:tabs>
        <w:spacing w:line="240" w:lineRule="exact"/>
        <w:rPr>
          <w:sz w:val="22"/>
          <w:szCs w:val="22"/>
        </w:rPr>
      </w:pPr>
      <w:r w:rsidRPr="006E3A41">
        <w:rPr>
          <w:sz w:val="22"/>
          <w:szCs w:val="22"/>
        </w:rPr>
        <w:tab/>
        <w:t>(a) Definitions. As used in this provision-</w:t>
      </w:r>
    </w:p>
    <w:p w14:paraId="5E9EDA0A" w14:textId="77777777" w:rsidR="006E3A41" w:rsidRPr="006E3A41" w:rsidRDefault="006E3A41" w:rsidP="006E3A41">
      <w:pPr>
        <w:tabs>
          <w:tab w:val="left" w:pos="360"/>
        </w:tabs>
        <w:spacing w:line="240" w:lineRule="exact"/>
        <w:rPr>
          <w:sz w:val="22"/>
          <w:szCs w:val="22"/>
        </w:rPr>
      </w:pPr>
      <w:r w:rsidRPr="006E3A41">
        <w:rPr>
          <w:sz w:val="22"/>
          <w:szCs w:val="22"/>
        </w:rPr>
        <w:tab/>
        <w:t>Backhaul, covered telecommunications equipment or services, critical technology, interconnection arrangements, reasonable inquiry, roaming, and substantial or essential component have the meanings provided in the clause 52.204-25, Prohibition on Contracting for Certain Telecommunications and Video Surveillance Services or Equipment.</w:t>
      </w:r>
    </w:p>
    <w:p w14:paraId="0F1FAAB8" w14:textId="77777777" w:rsidR="006E3A41" w:rsidRPr="006E3A41" w:rsidRDefault="006E3A41" w:rsidP="006E3A41">
      <w:pPr>
        <w:tabs>
          <w:tab w:val="left" w:pos="360"/>
        </w:tabs>
        <w:spacing w:line="240" w:lineRule="exact"/>
        <w:rPr>
          <w:sz w:val="22"/>
          <w:szCs w:val="22"/>
        </w:rPr>
      </w:pPr>
      <w:r w:rsidRPr="006E3A41">
        <w:rPr>
          <w:sz w:val="22"/>
          <w:szCs w:val="22"/>
        </w:rPr>
        <w:tab/>
        <w:t xml:space="preserve">(b) Prohibition. </w:t>
      </w:r>
    </w:p>
    <w:p w14:paraId="4CE51CB3"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t>(1)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Nothing in the prohibition shall be construed to—</w:t>
      </w:r>
    </w:p>
    <w:p w14:paraId="0C8AE04A"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 Prohibit the head of an executive agency from procuring with an entity to provide a service that connects to the facilities of a third-party, such as backhaul, roaming, or interconnection arrangements; or</w:t>
      </w:r>
    </w:p>
    <w:p w14:paraId="46CB2184"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(ii) Cover telecommunications equipment that cannot route or redirect user data traffic or cannot permit visibility into any user data or packets that such equipment transmits or otherwise handles.</w:t>
      </w:r>
    </w:p>
    <w:p w14:paraId="79D1AC5A"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This prohibition applies to the use of covered telecommunications equipment or services, regardless of whether that use is in performance of work under a </w:t>
      </w:r>
      <w:proofErr w:type="gramStart"/>
      <w:r w:rsidRPr="006E3A41">
        <w:rPr>
          <w:sz w:val="22"/>
          <w:szCs w:val="22"/>
        </w:rPr>
        <w:t>Federal</w:t>
      </w:r>
      <w:proofErr w:type="gramEnd"/>
      <w:r w:rsidRPr="006E3A41">
        <w:rPr>
          <w:sz w:val="22"/>
          <w:szCs w:val="22"/>
        </w:rPr>
        <w:t xml:space="preserve"> contract. Nothing in the prohibition shall be construed to—</w:t>
      </w:r>
    </w:p>
    <w:p w14:paraId="7BCDEC02"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 Prohibit the head of an executive agency from procuring with an entity to provide a service that connects to the facilities of a third-party, such as backhaul, roaming, or interconnection arrangements; or</w:t>
      </w:r>
    </w:p>
    <w:p w14:paraId="25E3F78C"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(ii) Cover telecommunications equipment that cannot route or redirect user data traffic or cannot permit visibility into any user data or packets that such equipment transmits or otherwise handles.</w:t>
      </w:r>
    </w:p>
    <w:p w14:paraId="359C8236" w14:textId="77777777" w:rsidR="006E3A41" w:rsidRPr="006E3A41" w:rsidRDefault="006E3A41" w:rsidP="006E3A41">
      <w:pPr>
        <w:tabs>
          <w:tab w:val="left" w:pos="360"/>
        </w:tabs>
        <w:spacing w:line="240" w:lineRule="exact"/>
        <w:rPr>
          <w:sz w:val="22"/>
          <w:szCs w:val="22"/>
        </w:rPr>
      </w:pPr>
      <w:r w:rsidRPr="006E3A41">
        <w:rPr>
          <w:sz w:val="22"/>
          <w:szCs w:val="22"/>
        </w:rPr>
        <w:tab/>
        <w:t>(c) Procedures. The Offeror shall review the list of excluded parties in the System for Award Management (SAM) (https://www.sam.gov) for entities excluded from receiving federal awards for “covered telecommunications equipment or services.”</w:t>
      </w:r>
    </w:p>
    <w:p w14:paraId="503C2EFA" w14:textId="77777777" w:rsidR="006E3A41" w:rsidRPr="006E3A41" w:rsidRDefault="006E3A41" w:rsidP="006E3A41">
      <w:pPr>
        <w:tabs>
          <w:tab w:val="left" w:pos="360"/>
        </w:tabs>
        <w:spacing w:line="240" w:lineRule="exact"/>
        <w:rPr>
          <w:sz w:val="22"/>
          <w:szCs w:val="22"/>
        </w:rPr>
      </w:pPr>
      <w:r w:rsidRPr="006E3A41">
        <w:rPr>
          <w:sz w:val="22"/>
          <w:szCs w:val="22"/>
        </w:rPr>
        <w:tab/>
        <w:t>(d) Representations. The Offeror represents that—</w:t>
      </w:r>
    </w:p>
    <w:p w14:paraId="2FE31319"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t xml:space="preserve">(1) It </w:t>
      </w:r>
      <w:proofErr w:type="gramStart"/>
      <w:r w:rsidRPr="006E3A41">
        <w:rPr>
          <w:sz w:val="22"/>
          <w:szCs w:val="22"/>
        </w:rPr>
        <w:t>[ ]</w:t>
      </w:r>
      <w:proofErr w:type="gramEnd"/>
      <w:r w:rsidRPr="006E3A41">
        <w:rPr>
          <w:sz w:val="22"/>
          <w:szCs w:val="22"/>
        </w:rPr>
        <w:t xml:space="preserve"> will, [ ] will not provide covered telecommunications equipment or services to the Government in the performance of any contract, subcontract or other contractual instrument resulting from this solicitation. The Offeror shall provide the additional disclosure information required at paragraph (e)(1) of this section if the Offeror responds “will” in paragraph (d)(1) of this section; and</w:t>
      </w:r>
    </w:p>
    <w:p w14:paraId="35607D99"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t>(2) After conducting a reasonable inquiry, for purposes of this representation, the Offeror represents that—</w:t>
      </w:r>
    </w:p>
    <w:p w14:paraId="51BF366A" w14:textId="77777777" w:rsidR="006E3A41" w:rsidRPr="006E3A41" w:rsidRDefault="006E3A41" w:rsidP="006E3A41">
      <w:pPr>
        <w:tabs>
          <w:tab w:val="left" w:pos="360"/>
        </w:tabs>
        <w:spacing w:line="240" w:lineRule="exact"/>
        <w:rPr>
          <w:sz w:val="22"/>
          <w:szCs w:val="22"/>
        </w:rPr>
      </w:pPr>
      <w:r w:rsidRPr="006E3A41">
        <w:rPr>
          <w:sz w:val="22"/>
          <w:szCs w:val="22"/>
        </w:rPr>
        <w:tab/>
        <w:t xml:space="preserve">It </w:t>
      </w:r>
      <w:proofErr w:type="gramStart"/>
      <w:r w:rsidRPr="006E3A41">
        <w:rPr>
          <w:sz w:val="22"/>
          <w:szCs w:val="22"/>
        </w:rPr>
        <w:t>[ ]</w:t>
      </w:r>
      <w:proofErr w:type="gramEnd"/>
      <w:r w:rsidRPr="006E3A41">
        <w:rPr>
          <w:sz w:val="22"/>
          <w:szCs w:val="22"/>
        </w:rPr>
        <w:t xml:space="preserve"> does, [ ] does not use covered telecommunications equipment or services, or use any equipment, system, or service that uses covered telecommunications equipment or services. The Offeror shall provide the additional disclosure information required at paragraph (e)(2) of this section if the Offeror responds “does” in paragraph (d)(2) of this section.</w:t>
      </w:r>
    </w:p>
    <w:p w14:paraId="2F976690" w14:textId="77777777" w:rsidR="006E3A41" w:rsidRPr="006E3A41" w:rsidRDefault="006E3A41" w:rsidP="006E3A41">
      <w:pPr>
        <w:tabs>
          <w:tab w:val="left" w:pos="360"/>
        </w:tabs>
        <w:spacing w:line="240" w:lineRule="exact"/>
        <w:rPr>
          <w:sz w:val="22"/>
          <w:szCs w:val="22"/>
        </w:rPr>
      </w:pPr>
      <w:r w:rsidRPr="006E3A41">
        <w:rPr>
          <w:sz w:val="22"/>
          <w:szCs w:val="22"/>
        </w:rPr>
        <w:tab/>
        <w:t xml:space="preserve">(e) Disclosures. </w:t>
      </w:r>
    </w:p>
    <w:p w14:paraId="5E4664EC"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t>(1) Disclosure for the representation in paragraph (d)(1) of this provision. If the Offeror has responded “will” in the representation in paragraph (d)(1) of this provision, the Offeror shall provide the following information as part of the offer:</w:t>
      </w:r>
    </w:p>
    <w:p w14:paraId="4D9A9DEE"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 For covered equipment—</w:t>
      </w:r>
    </w:p>
    <w:p w14:paraId="3FA99864" w14:textId="77777777" w:rsidR="006E3A41" w:rsidRPr="006E3A41" w:rsidRDefault="006E3A41" w:rsidP="006E3A41">
      <w:pPr>
        <w:tabs>
          <w:tab w:val="left" w:pos="360"/>
        </w:tabs>
        <w:spacing w:line="240" w:lineRule="exact"/>
        <w:rPr>
          <w:sz w:val="22"/>
          <w:szCs w:val="22"/>
        </w:rPr>
      </w:pPr>
      <w:r w:rsidRPr="006E3A41">
        <w:rPr>
          <w:sz w:val="22"/>
          <w:szCs w:val="22"/>
        </w:rPr>
        <w:lastRenderedPageBreak/>
        <w:tab/>
      </w:r>
      <w:r w:rsidRPr="006E3A41">
        <w:rPr>
          <w:sz w:val="22"/>
          <w:szCs w:val="22"/>
        </w:rPr>
        <w:tab/>
      </w:r>
      <w:r w:rsidRPr="006E3A41">
        <w:rPr>
          <w:sz w:val="22"/>
          <w:szCs w:val="22"/>
        </w:rPr>
        <w:tab/>
      </w:r>
      <w:r w:rsidRPr="006E3A41">
        <w:rPr>
          <w:sz w:val="22"/>
          <w:szCs w:val="22"/>
        </w:rPr>
        <w:tab/>
        <w:t>(A) The entity that produced the covered telecommunications equipment (include entity name, unique entity identifier, CAGE code, and whether the entity was the original equipment manufacturer (OEM) or a distributor, if known);</w:t>
      </w:r>
    </w:p>
    <w:p w14:paraId="68480181"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(B) A description of all covered telecommunications equipment offered (include brand; model number, such as OEM number, manufacturer part number, or wholesaler number; and item description, as applicable); and</w:t>
      </w:r>
    </w:p>
    <w:p w14:paraId="2D6E8F27"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(C) Explanation of the proposed use of covered telecommunications equipment and any factors relevant to determining if such use would be permissible under the prohibition in paragraph (b)(1) of this provision.</w:t>
      </w:r>
    </w:p>
    <w:p w14:paraId="0576841E"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(ii) For covered services—</w:t>
      </w:r>
    </w:p>
    <w:p w14:paraId="2EB7282D"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(A) If the service is related to item maintenance: A description of all covered telecommunications services offered (include on the item being maintained: Brand; model number, such as OEM number, manufacturer part number, or wholesaler number; and item description, as applicable); or</w:t>
      </w:r>
    </w:p>
    <w:p w14:paraId="438CFF71"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(B) If not associated with maintenance, the Product Service Code (PSC) of the service being provided; and explanation of the proposed use of covered telecommunications services and any factors relevant to determining if such use would be permissible under the prohibition in paragraph (b)(1) of this provision.</w:t>
      </w:r>
    </w:p>
    <w:p w14:paraId="13307BA1"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t>(2) Disclosure for the representation in paragraph (d)(2) of this provision. If the Offeror has responded “does” in the representation in paragraph (d)(2) of this provision, the Offeror shall provide the following information as part of the offer:</w:t>
      </w:r>
    </w:p>
    <w:p w14:paraId="46038057"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 For covered equipment—</w:t>
      </w:r>
    </w:p>
    <w:p w14:paraId="0F5F73EF"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(A) The entity that produced the covered telecommunications equipment (include entity name, unique entity identifier, CAGE code, and whether the entity was the OEM or a distributor, if known);</w:t>
      </w:r>
    </w:p>
    <w:p w14:paraId="5BEF41A2"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(B) A description of all covered telecommunications equipment offered (include brand; model number, such as OEM number, manufacturer part number, or wholesaler number; and item description, as applicable); and</w:t>
      </w:r>
    </w:p>
    <w:p w14:paraId="04B5CB55"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(C) Explanation of the proposed use of covered telecommunications equipment and any factors relevant to determining if such use would be permissible under the prohibition in paragraph (b)(2) of this provision.</w:t>
      </w:r>
    </w:p>
    <w:p w14:paraId="4D46296F"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t>(ii) For covered services—</w:t>
      </w:r>
    </w:p>
    <w:p w14:paraId="17B071F3"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(A) If the service is related to item maintenance: A description of all covered telecommunications services offered (include on the item being maintained: Brand; model number, such as OEM number, manufacturer part number, or wholesaler number; and item description, as applicable); or</w:t>
      </w:r>
    </w:p>
    <w:p w14:paraId="67103CF5" w14:textId="77777777" w:rsidR="006E3A41" w:rsidRPr="006E3A41" w:rsidRDefault="006E3A41" w:rsidP="006E3A41">
      <w:pPr>
        <w:tabs>
          <w:tab w:val="left" w:pos="360"/>
        </w:tabs>
        <w:spacing w:line="240" w:lineRule="exact"/>
        <w:rPr>
          <w:sz w:val="22"/>
          <w:szCs w:val="22"/>
        </w:rPr>
      </w:pPr>
      <w:r w:rsidRPr="006E3A41">
        <w:rPr>
          <w:sz w:val="22"/>
          <w:szCs w:val="22"/>
        </w:rPr>
        <w:tab/>
      </w:r>
      <w:r w:rsidRPr="006E3A41">
        <w:rPr>
          <w:sz w:val="22"/>
          <w:szCs w:val="22"/>
        </w:rPr>
        <w:tab/>
      </w:r>
      <w:r w:rsidRPr="006E3A41">
        <w:rPr>
          <w:sz w:val="22"/>
          <w:szCs w:val="22"/>
        </w:rPr>
        <w:tab/>
      </w:r>
      <w:r w:rsidRPr="006E3A41">
        <w:rPr>
          <w:sz w:val="22"/>
          <w:szCs w:val="22"/>
        </w:rPr>
        <w:tab/>
        <w:t>(B) If not associated with maintenance, the PSC of the service being provided; and explanation of the proposed use of covered telecommunications services and any factors relevant to determining if such use would be permissible under the prohibition in paragraph (b)(2) of this provision.</w:t>
      </w:r>
    </w:p>
    <w:p w14:paraId="74FF805B" w14:textId="77777777" w:rsidR="006E3A41" w:rsidRDefault="006E3A41" w:rsidP="006E3A41">
      <w:pPr>
        <w:tabs>
          <w:tab w:val="left" w:pos="360"/>
        </w:tabs>
        <w:spacing w:line="240" w:lineRule="exact"/>
        <w:rPr>
          <w:sz w:val="22"/>
          <w:szCs w:val="22"/>
        </w:rPr>
      </w:pPr>
    </w:p>
    <w:p w14:paraId="08EC1ED8" w14:textId="77777777" w:rsidR="006E3A41" w:rsidRDefault="006E3A41" w:rsidP="006E3A41">
      <w:pPr>
        <w:tabs>
          <w:tab w:val="left" w:pos="360"/>
        </w:tabs>
        <w:spacing w:line="240" w:lineRule="exact"/>
        <w:rPr>
          <w:sz w:val="22"/>
          <w:szCs w:val="22"/>
        </w:rPr>
      </w:pPr>
      <w:r w:rsidRPr="006E3A41">
        <w:rPr>
          <w:sz w:val="22"/>
          <w:szCs w:val="22"/>
        </w:rPr>
        <w:t>(End of provision)</w:t>
      </w:r>
    </w:p>
    <w:p w14:paraId="6567FAA4" w14:textId="77777777" w:rsidR="006E3A41" w:rsidRDefault="006E3A41" w:rsidP="00A10554">
      <w:pPr>
        <w:tabs>
          <w:tab w:val="left" w:pos="360"/>
        </w:tabs>
        <w:spacing w:line="240" w:lineRule="exact"/>
        <w:rPr>
          <w:sz w:val="22"/>
          <w:szCs w:val="22"/>
        </w:rPr>
      </w:pPr>
    </w:p>
    <w:p w14:paraId="61074BEE" w14:textId="77777777" w:rsidR="006E3A41" w:rsidRPr="00A10554" w:rsidRDefault="006E3A41" w:rsidP="00A10554">
      <w:pPr>
        <w:tabs>
          <w:tab w:val="left" w:pos="360"/>
        </w:tabs>
        <w:spacing w:line="240" w:lineRule="exact"/>
        <w:rPr>
          <w:sz w:val="22"/>
          <w:szCs w:val="22"/>
        </w:rPr>
      </w:pPr>
    </w:p>
    <w:p w14:paraId="6FF8C7F1" w14:textId="08203AD9" w:rsidR="00A30339" w:rsidRPr="003E2F93" w:rsidRDefault="00A30339" w:rsidP="00A30339">
      <w:pPr>
        <w:pStyle w:val="Title"/>
        <w:rPr>
          <w:sz w:val="22"/>
          <w:szCs w:val="22"/>
        </w:rPr>
      </w:pPr>
      <w:r w:rsidRPr="00A10554">
        <w:rPr>
          <w:sz w:val="22"/>
          <w:szCs w:val="22"/>
        </w:rPr>
        <w:t xml:space="preserve">CERTIFICATIONS FOR </w:t>
      </w:r>
      <w:r w:rsidR="00CF10C5" w:rsidRPr="00CF10C5">
        <w:rPr>
          <w:sz w:val="22"/>
          <w:szCs w:val="22"/>
        </w:rPr>
        <w:t>RESEARCH OTHER TRANSACTION</w:t>
      </w:r>
    </w:p>
    <w:p w14:paraId="361B6AA1"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54D6628D" w14:textId="77777777" w:rsidR="00A30339" w:rsidRPr="003E2F93" w:rsidRDefault="00A30339">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3F8FA0AD" w14:textId="77777777" w:rsidR="00A30339" w:rsidRPr="003E2F93" w:rsidRDefault="00A30339">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0413E471"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____________________________________________________</w:t>
      </w:r>
      <w:r w:rsidRPr="003E2F93">
        <w:rPr>
          <w:sz w:val="22"/>
          <w:szCs w:val="22"/>
        </w:rPr>
        <w:tab/>
        <w:t>_</w:t>
      </w:r>
      <w:r w:rsidRPr="003E2F93">
        <w:rPr>
          <w:sz w:val="22"/>
          <w:szCs w:val="22"/>
        </w:rPr>
        <w:tab/>
        <w:t>__________________________________</w:t>
      </w:r>
    </w:p>
    <w:p w14:paraId="0A2F837E"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[Typed Name and Title of Official Responsible for This Transaction]</w:t>
      </w:r>
      <w:r w:rsidRPr="003E2F93">
        <w:rPr>
          <w:sz w:val="22"/>
          <w:szCs w:val="22"/>
        </w:rPr>
        <w:tab/>
        <w:t>[Name of Organization/Institution]</w:t>
      </w:r>
    </w:p>
    <w:p w14:paraId="5BD43457"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76E8D6F4"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5D8B3750" w14:textId="77777777" w:rsidR="00A30339" w:rsidRPr="003E2F93" w:rsidRDefault="00A30339">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40D5EED3" w14:textId="77777777" w:rsidR="00A30339" w:rsidRPr="003E2F93" w:rsidRDefault="00A30339">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6A37EAAB"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lastRenderedPageBreak/>
        <w:t>_____________________________________________________</w:t>
      </w:r>
      <w:r w:rsidRPr="003E2F93">
        <w:rPr>
          <w:sz w:val="22"/>
          <w:szCs w:val="22"/>
        </w:rPr>
        <w:tab/>
        <w:t>_______________________</w:t>
      </w:r>
      <w:r w:rsidRPr="003E2F93">
        <w:rPr>
          <w:sz w:val="22"/>
          <w:szCs w:val="22"/>
          <w:u w:val="single"/>
        </w:rPr>
        <w:t xml:space="preserve">                    </w:t>
      </w:r>
      <w:r w:rsidRPr="003E2F93">
        <w:rPr>
          <w:sz w:val="22"/>
          <w:szCs w:val="22"/>
        </w:rPr>
        <w:t>_</w:t>
      </w:r>
    </w:p>
    <w:p w14:paraId="7E32900A"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r w:rsidRPr="003E2F93">
        <w:rPr>
          <w:sz w:val="22"/>
          <w:szCs w:val="22"/>
        </w:rPr>
        <w:t>[Signature of Official responsible for this transaction]</w:t>
      </w:r>
      <w:r w:rsidRPr="003E2F93">
        <w:rPr>
          <w:sz w:val="22"/>
          <w:szCs w:val="22"/>
        </w:rPr>
        <w:tab/>
      </w:r>
      <w:r w:rsidRPr="003E2F93">
        <w:rPr>
          <w:sz w:val="22"/>
          <w:szCs w:val="22"/>
        </w:rPr>
        <w:tab/>
      </w:r>
      <w:r w:rsidRPr="003E2F93">
        <w:rPr>
          <w:sz w:val="22"/>
          <w:szCs w:val="22"/>
        </w:rPr>
        <w:tab/>
        <w:t>[Date]</w:t>
      </w:r>
    </w:p>
    <w:p w14:paraId="74CCBB60"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6D3D59DE"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65AD8D8F"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p w14:paraId="4E1CA727" w14:textId="77777777" w:rsidR="002775DB" w:rsidRPr="003E2F93" w:rsidRDefault="002775DB">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rPr>
          <w:sz w:val="22"/>
          <w:szCs w:val="22"/>
        </w:rPr>
      </w:pPr>
    </w:p>
    <w:sectPr w:rsidR="002775DB" w:rsidRPr="003E2F93">
      <w:headerReference w:type="default" r:id="rId11"/>
      <w:footerReference w:type="even" r:id="rId12"/>
      <w:footerReference w:type="default" r:id="rId13"/>
      <w:footerReference w:type="first" r:id="rId14"/>
      <w:endnotePr>
        <w:numFmt w:val="decimal"/>
      </w:endnotePr>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5581C" w14:textId="77777777" w:rsidR="00F010B2" w:rsidRDefault="00F010B2">
      <w:r>
        <w:separator/>
      </w:r>
    </w:p>
  </w:endnote>
  <w:endnote w:type="continuationSeparator" w:id="0">
    <w:p w14:paraId="6C5EEC9A" w14:textId="77777777" w:rsidR="00F010B2" w:rsidRDefault="00F01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8DAE1" w14:textId="77777777" w:rsidR="002775DB" w:rsidRDefault="002775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C403E">
      <w:rPr>
        <w:rStyle w:val="PageNumber"/>
        <w:noProof/>
      </w:rPr>
      <w:t>2</w:t>
    </w:r>
    <w:r>
      <w:rPr>
        <w:rStyle w:val="PageNumber"/>
      </w:rPr>
      <w:fldChar w:fldCharType="end"/>
    </w:r>
  </w:p>
  <w:p w14:paraId="75F1BB42" w14:textId="77777777" w:rsidR="002775DB" w:rsidRDefault="002775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F7649" w14:textId="77777777" w:rsidR="002775DB" w:rsidRDefault="002775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C403E">
      <w:rPr>
        <w:rStyle w:val="PageNumber"/>
        <w:noProof/>
      </w:rPr>
      <w:t>3</w:t>
    </w:r>
    <w:r>
      <w:rPr>
        <w:rStyle w:val="PageNumber"/>
      </w:rPr>
      <w:fldChar w:fldCharType="end"/>
    </w:r>
  </w:p>
  <w:p w14:paraId="3999C6DB" w14:textId="77777777" w:rsidR="002775DB" w:rsidRDefault="002775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1C25A" w14:textId="77777777" w:rsidR="00EC4942" w:rsidRDefault="00EC403E">
    <w:pPr>
      <w:pStyle w:val="Footer"/>
    </w:pPr>
    <w:r>
      <w:t>U</w:t>
    </w:r>
    <w:r w:rsidR="00EC4942">
      <w:t>pdated August 17,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554D7" w14:textId="77777777" w:rsidR="00F010B2" w:rsidRDefault="00F010B2">
      <w:r>
        <w:separator/>
      </w:r>
    </w:p>
  </w:footnote>
  <w:footnote w:type="continuationSeparator" w:id="0">
    <w:p w14:paraId="5877F75C" w14:textId="77777777" w:rsidR="00F010B2" w:rsidRDefault="00F01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1ACC" w14:textId="77777777" w:rsidR="002775DB" w:rsidRDefault="002775DB">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F13AF"/>
    <w:multiLevelType w:val="hybridMultilevel"/>
    <w:tmpl w:val="6A664828"/>
    <w:lvl w:ilvl="0" w:tplc="8EDAD5E2">
      <w:start w:val="1"/>
      <w:numFmt w:val="lowerLetter"/>
      <w:lvlText w:val="(%1)"/>
      <w:lvlJc w:val="left"/>
      <w:pPr>
        <w:ind w:left="720" w:hanging="360"/>
      </w:pPr>
      <w:rPr>
        <w:rFonts w:ascii="Century Schoolbook" w:hAnsi="Century Schoolbook"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B1526"/>
    <w:multiLevelType w:val="hybridMultilevel"/>
    <w:tmpl w:val="12140156"/>
    <w:lvl w:ilvl="0" w:tplc="C2164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0524A"/>
    <w:multiLevelType w:val="hybridMultilevel"/>
    <w:tmpl w:val="3E42D65E"/>
    <w:lvl w:ilvl="0" w:tplc="504E40E2">
      <w:start w:val="1"/>
      <w:numFmt w:val="decimal"/>
      <w:pStyle w:val="Style1"/>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9B7549"/>
    <w:multiLevelType w:val="hybridMultilevel"/>
    <w:tmpl w:val="64E64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42043A"/>
    <w:multiLevelType w:val="hybridMultilevel"/>
    <w:tmpl w:val="B528306E"/>
    <w:lvl w:ilvl="0" w:tplc="1A08F9EE">
      <w:start w:val="3"/>
      <w:numFmt w:val="decimal"/>
      <w:lvlText w:val="%1."/>
      <w:lvlJc w:val="left"/>
      <w:pPr>
        <w:tabs>
          <w:tab w:val="num" w:pos="-380"/>
        </w:tabs>
        <w:ind w:left="-380" w:hanging="360"/>
      </w:pPr>
      <w:rPr>
        <w:rFonts w:hint="default"/>
      </w:rPr>
    </w:lvl>
    <w:lvl w:ilvl="1" w:tplc="742A12B0">
      <w:start w:val="1"/>
      <w:numFmt w:val="lowerLetter"/>
      <w:lvlText w:val="%2."/>
      <w:lvlJc w:val="left"/>
      <w:pPr>
        <w:tabs>
          <w:tab w:val="num" w:pos="340"/>
        </w:tabs>
        <w:ind w:left="340" w:hanging="360"/>
      </w:pPr>
      <w:rPr>
        <w:rFonts w:hint="default"/>
      </w:rPr>
    </w:lvl>
    <w:lvl w:ilvl="2" w:tplc="0409001B" w:tentative="1">
      <w:start w:val="1"/>
      <w:numFmt w:val="lowerRoman"/>
      <w:lvlText w:val="%3."/>
      <w:lvlJc w:val="right"/>
      <w:pPr>
        <w:tabs>
          <w:tab w:val="num" w:pos="1060"/>
        </w:tabs>
        <w:ind w:left="1060" w:hanging="180"/>
      </w:pPr>
    </w:lvl>
    <w:lvl w:ilvl="3" w:tplc="0409000F" w:tentative="1">
      <w:start w:val="1"/>
      <w:numFmt w:val="decimal"/>
      <w:lvlText w:val="%4."/>
      <w:lvlJc w:val="left"/>
      <w:pPr>
        <w:tabs>
          <w:tab w:val="num" w:pos="1780"/>
        </w:tabs>
        <w:ind w:left="1780" w:hanging="360"/>
      </w:pPr>
    </w:lvl>
    <w:lvl w:ilvl="4" w:tplc="04090019" w:tentative="1">
      <w:start w:val="1"/>
      <w:numFmt w:val="lowerLetter"/>
      <w:lvlText w:val="%5."/>
      <w:lvlJc w:val="left"/>
      <w:pPr>
        <w:tabs>
          <w:tab w:val="num" w:pos="2500"/>
        </w:tabs>
        <w:ind w:left="2500" w:hanging="360"/>
      </w:pPr>
    </w:lvl>
    <w:lvl w:ilvl="5" w:tplc="0409001B" w:tentative="1">
      <w:start w:val="1"/>
      <w:numFmt w:val="lowerRoman"/>
      <w:lvlText w:val="%6."/>
      <w:lvlJc w:val="right"/>
      <w:pPr>
        <w:tabs>
          <w:tab w:val="num" w:pos="3220"/>
        </w:tabs>
        <w:ind w:left="3220" w:hanging="180"/>
      </w:pPr>
    </w:lvl>
    <w:lvl w:ilvl="6" w:tplc="0409000F" w:tentative="1">
      <w:start w:val="1"/>
      <w:numFmt w:val="decimal"/>
      <w:lvlText w:val="%7."/>
      <w:lvlJc w:val="left"/>
      <w:pPr>
        <w:tabs>
          <w:tab w:val="num" w:pos="3940"/>
        </w:tabs>
        <w:ind w:left="3940" w:hanging="360"/>
      </w:pPr>
    </w:lvl>
    <w:lvl w:ilvl="7" w:tplc="04090019" w:tentative="1">
      <w:start w:val="1"/>
      <w:numFmt w:val="lowerLetter"/>
      <w:lvlText w:val="%8."/>
      <w:lvlJc w:val="left"/>
      <w:pPr>
        <w:tabs>
          <w:tab w:val="num" w:pos="4660"/>
        </w:tabs>
        <w:ind w:left="4660" w:hanging="360"/>
      </w:pPr>
    </w:lvl>
    <w:lvl w:ilvl="8" w:tplc="0409001B" w:tentative="1">
      <w:start w:val="1"/>
      <w:numFmt w:val="lowerRoman"/>
      <w:lvlText w:val="%9."/>
      <w:lvlJc w:val="right"/>
      <w:pPr>
        <w:tabs>
          <w:tab w:val="num" w:pos="5380"/>
        </w:tabs>
        <w:ind w:left="5380" w:hanging="180"/>
      </w:pPr>
    </w:lvl>
  </w:abstractNum>
  <w:abstractNum w:abstractNumId="5" w15:restartNumberingAfterBreak="0">
    <w:nsid w:val="32D7256A"/>
    <w:multiLevelType w:val="hybridMultilevel"/>
    <w:tmpl w:val="1E6EB794"/>
    <w:lvl w:ilvl="0" w:tplc="C2164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D332D2"/>
    <w:multiLevelType w:val="hybridMultilevel"/>
    <w:tmpl w:val="C7A468F2"/>
    <w:lvl w:ilvl="0" w:tplc="F0AA5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221125"/>
    <w:multiLevelType w:val="hybridMultilevel"/>
    <w:tmpl w:val="E3188D10"/>
    <w:lvl w:ilvl="0" w:tplc="77E06C5E">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59F441B"/>
    <w:multiLevelType w:val="hybridMultilevel"/>
    <w:tmpl w:val="8E060C88"/>
    <w:lvl w:ilvl="0" w:tplc="1BD8A5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5"/>
  </w:num>
  <w:num w:numId="5">
    <w:abstractNumId w:val="6"/>
  </w:num>
  <w:num w:numId="6">
    <w:abstractNumId w:val="7"/>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C7A"/>
    <w:rsid w:val="00012234"/>
    <w:rsid w:val="0002141C"/>
    <w:rsid w:val="00031680"/>
    <w:rsid w:val="00063D08"/>
    <w:rsid w:val="000A65B8"/>
    <w:rsid w:val="000B1BFF"/>
    <w:rsid w:val="000C2EDB"/>
    <w:rsid w:val="000E4026"/>
    <w:rsid w:val="000F2190"/>
    <w:rsid w:val="000F4FCD"/>
    <w:rsid w:val="00103878"/>
    <w:rsid w:val="00192AEF"/>
    <w:rsid w:val="00231E49"/>
    <w:rsid w:val="0024181D"/>
    <w:rsid w:val="00255343"/>
    <w:rsid w:val="00272AA7"/>
    <w:rsid w:val="002775DB"/>
    <w:rsid w:val="00295EC3"/>
    <w:rsid w:val="002B3805"/>
    <w:rsid w:val="002E7EDF"/>
    <w:rsid w:val="00306445"/>
    <w:rsid w:val="00321DE5"/>
    <w:rsid w:val="00364441"/>
    <w:rsid w:val="00387385"/>
    <w:rsid w:val="003C61F0"/>
    <w:rsid w:val="003E2F93"/>
    <w:rsid w:val="004019A3"/>
    <w:rsid w:val="004B4897"/>
    <w:rsid w:val="004F3F1E"/>
    <w:rsid w:val="00550584"/>
    <w:rsid w:val="00553866"/>
    <w:rsid w:val="005807B8"/>
    <w:rsid w:val="005C0270"/>
    <w:rsid w:val="006901DD"/>
    <w:rsid w:val="006A21FD"/>
    <w:rsid w:val="006E3A41"/>
    <w:rsid w:val="007C6B97"/>
    <w:rsid w:val="007E27BD"/>
    <w:rsid w:val="00822384"/>
    <w:rsid w:val="00825AD0"/>
    <w:rsid w:val="008C3691"/>
    <w:rsid w:val="008D428C"/>
    <w:rsid w:val="009A7669"/>
    <w:rsid w:val="009B136E"/>
    <w:rsid w:val="00A10554"/>
    <w:rsid w:val="00A16F2E"/>
    <w:rsid w:val="00A30339"/>
    <w:rsid w:val="00A3123A"/>
    <w:rsid w:val="00A46DE9"/>
    <w:rsid w:val="00A944D3"/>
    <w:rsid w:val="00AA4B80"/>
    <w:rsid w:val="00B4196F"/>
    <w:rsid w:val="00B5538D"/>
    <w:rsid w:val="00B56B49"/>
    <w:rsid w:val="00B750E3"/>
    <w:rsid w:val="00BD1213"/>
    <w:rsid w:val="00C3221B"/>
    <w:rsid w:val="00C9149E"/>
    <w:rsid w:val="00C937B3"/>
    <w:rsid w:val="00CB154D"/>
    <w:rsid w:val="00CC4442"/>
    <w:rsid w:val="00CC55D6"/>
    <w:rsid w:val="00CF10C5"/>
    <w:rsid w:val="00D30F22"/>
    <w:rsid w:val="00D433F9"/>
    <w:rsid w:val="00D6684D"/>
    <w:rsid w:val="00DA19F0"/>
    <w:rsid w:val="00E45E82"/>
    <w:rsid w:val="00E56C7A"/>
    <w:rsid w:val="00E75154"/>
    <w:rsid w:val="00E82AAF"/>
    <w:rsid w:val="00EC403E"/>
    <w:rsid w:val="00EC4942"/>
    <w:rsid w:val="00EC7F7D"/>
    <w:rsid w:val="00F010B2"/>
    <w:rsid w:val="00F60A11"/>
    <w:rsid w:val="00F8028B"/>
    <w:rsid w:val="00FA0ED6"/>
    <w:rsid w:val="00FA1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53DE9"/>
  <w15:chartTrackingRefBased/>
  <w15:docId w15:val="{D8FC0902-A4C6-4624-93B9-0983D131D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line="240" w:lineRule="atLeast"/>
      <w:textAlignment w:val="baseline"/>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line="240" w:lineRule="atLeast"/>
      <w:textAlignment w:val="baseline"/>
    </w:pPr>
    <w:rPr>
      <w:rFonts w:ascii="Arial" w:hAnsi="Arial"/>
      <w:color w:val="000000"/>
      <w:sz w:val="24"/>
    </w:rPr>
  </w:style>
  <w:style w:type="paragraph" w:customStyle="1" w:styleId="WPDefaultsLocal">
    <w:name w:val="WP Defaults (Local)"/>
    <w:basedOn w:val="WPDefaults"/>
  </w:style>
  <w:style w:type="paragraph" w:customStyle="1" w:styleId="Document">
    <w:name w:val="Document"/>
    <w:basedOn w:val="WPDefaultsLocal"/>
    <w:rPr>
      <w:rFonts w:ascii="Courier" w:hAnsi="Courier"/>
    </w:rPr>
  </w:style>
  <w:style w:type="paragraph" w:styleId="Title">
    <w:name w:val="Title"/>
    <w:basedOn w:val="Normal"/>
    <w:qFormat/>
    <w:pPr>
      <w:tabs>
        <w:tab w:val="left" w:pos="-2180"/>
        <w:tab w:val="left" w:pos="-1460"/>
        <w:tab w:val="left" w:pos="-740"/>
        <w:tab w:val="left" w:pos="-20"/>
        <w:tab w:val="left" w:pos="700"/>
        <w:tab w:val="left" w:pos="1420"/>
        <w:tab w:val="left" w:pos="2140"/>
        <w:tab w:val="left" w:pos="2860"/>
        <w:tab w:val="left" w:pos="3580"/>
        <w:tab w:val="left" w:pos="4300"/>
        <w:tab w:val="left" w:pos="5020"/>
        <w:tab w:val="left" w:pos="5740"/>
        <w:tab w:val="left" w:pos="6460"/>
        <w:tab w:val="left" w:pos="7180"/>
        <w:tab w:val="left" w:pos="7900"/>
        <w:tab w:val="left" w:pos="8620"/>
        <w:tab w:val="left" w:pos="9340"/>
        <w:tab w:val="left" w:pos="10060"/>
      </w:tabs>
      <w:ind w:left="-740" w:right="-720"/>
      <w:jc w:val="center"/>
    </w:pPr>
    <w:rPr>
      <w:b/>
      <w:sz w:val="28"/>
      <w:u w:val="single"/>
    </w:rPr>
  </w:style>
  <w:style w:type="paragraph" w:styleId="PlainText">
    <w:name w:val="Plain Text"/>
    <w:basedOn w:val="Normal"/>
    <w:pPr>
      <w:overflowPunct/>
      <w:autoSpaceDE/>
      <w:autoSpaceDN/>
      <w:adjustRightInd/>
      <w:spacing w:line="240" w:lineRule="auto"/>
      <w:textAlignment w:val="auto"/>
    </w:pPr>
    <w:rPr>
      <w:rFonts w:ascii="Courier New" w:hAnsi="Courier New"/>
      <w:color w:val="auto"/>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noProof w:val="0"/>
      <w:color w:val="000000"/>
      <w:sz w:val="20"/>
      <w:lang w:val="en-US"/>
    </w:rPr>
  </w:style>
  <w:style w:type="paragraph" w:customStyle="1" w:styleId="Style1">
    <w:name w:val="Style1"/>
    <w:basedOn w:val="ListParagraph"/>
    <w:link w:val="Style1Char"/>
    <w:qFormat/>
    <w:rsid w:val="00CB154D"/>
    <w:pPr>
      <w:numPr>
        <w:numId w:val="2"/>
      </w:numPr>
      <w:overflowPunct/>
      <w:spacing w:before="240" w:after="200" w:line="276" w:lineRule="auto"/>
      <w:contextualSpacing/>
      <w:textAlignment w:val="auto"/>
    </w:pPr>
    <w:rPr>
      <w:rFonts w:eastAsia="Calibri"/>
      <w:color w:val="0000FF"/>
      <w:sz w:val="24"/>
      <w:szCs w:val="24"/>
    </w:rPr>
  </w:style>
  <w:style w:type="character" w:customStyle="1" w:styleId="Style1Char">
    <w:name w:val="Style1 Char"/>
    <w:link w:val="Style1"/>
    <w:rsid w:val="00CB154D"/>
    <w:rPr>
      <w:rFonts w:eastAsia="Calibri"/>
      <w:color w:val="0000FF"/>
      <w:sz w:val="24"/>
      <w:szCs w:val="24"/>
    </w:rPr>
  </w:style>
  <w:style w:type="paragraph" w:styleId="ListParagraph">
    <w:name w:val="List Paragraph"/>
    <w:basedOn w:val="Normal"/>
    <w:uiPriority w:val="34"/>
    <w:qFormat/>
    <w:rsid w:val="00CB154D"/>
    <w:pPr>
      <w:ind w:left="720"/>
    </w:pPr>
  </w:style>
  <w:style w:type="paragraph" w:styleId="NormalWeb">
    <w:name w:val="Normal (Web)"/>
    <w:basedOn w:val="Normal"/>
    <w:uiPriority w:val="99"/>
    <w:rsid w:val="00D30F22"/>
    <w:pPr>
      <w:overflowPunct/>
      <w:autoSpaceDE/>
      <w:autoSpaceDN/>
      <w:adjustRightInd/>
      <w:spacing w:before="100" w:beforeAutospacing="1" w:after="100" w:afterAutospacing="1" w:line="240" w:lineRule="auto"/>
      <w:textAlignment w:val="auto"/>
    </w:pPr>
    <w:rPr>
      <w:color w:val="auto"/>
      <w:sz w:val="24"/>
      <w:szCs w:val="24"/>
    </w:rPr>
  </w:style>
  <w:style w:type="paragraph" w:styleId="BalloonText">
    <w:name w:val="Balloon Text"/>
    <w:basedOn w:val="Normal"/>
    <w:link w:val="BalloonTextChar"/>
    <w:rsid w:val="000C2EDB"/>
    <w:pPr>
      <w:spacing w:line="240" w:lineRule="auto"/>
    </w:pPr>
    <w:rPr>
      <w:rFonts w:ascii="Tahoma" w:hAnsi="Tahoma" w:cs="Tahoma"/>
      <w:sz w:val="16"/>
      <w:szCs w:val="16"/>
    </w:rPr>
  </w:style>
  <w:style w:type="character" w:customStyle="1" w:styleId="BalloonTextChar">
    <w:name w:val="Balloon Text Char"/>
    <w:link w:val="BalloonText"/>
    <w:rsid w:val="000C2EDB"/>
    <w:rPr>
      <w:rFonts w:ascii="Tahoma" w:hAnsi="Tahoma" w:cs="Tahoma"/>
      <w:noProof w:val="0"/>
      <w:color w:val="000000"/>
      <w:sz w:val="16"/>
      <w:szCs w:val="16"/>
      <w:lang w:val="en-US"/>
    </w:rPr>
  </w:style>
  <w:style w:type="paragraph" w:customStyle="1" w:styleId="pbody">
    <w:name w:val="pbody"/>
    <w:basedOn w:val="Normal"/>
    <w:rsid w:val="00A10554"/>
    <w:pPr>
      <w:overflowPunct/>
      <w:autoSpaceDE/>
      <w:autoSpaceDN/>
      <w:adjustRightInd/>
      <w:spacing w:line="288" w:lineRule="auto"/>
      <w:ind w:firstLine="240"/>
      <w:textAlignment w:val="auto"/>
    </w:pPr>
    <w:rPr>
      <w:rFonts w:ascii="Arial" w:hAnsi="Arial" w:cs="Arial"/>
    </w:rPr>
  </w:style>
  <w:style w:type="character" w:styleId="Emphasis">
    <w:name w:val="Emphasis"/>
    <w:uiPriority w:val="20"/>
    <w:qFormat/>
    <w:rsid w:val="00A10554"/>
    <w:rPr>
      <w:i/>
      <w:iCs/>
      <w:noProof w:val="0"/>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B2E237EBE53A43B15C1729D02FF6A5" ma:contentTypeVersion="3" ma:contentTypeDescription="Create a new document." ma:contentTypeScope="" ma:versionID="1ece25a97a962bdc3dbbc76358e4331e">
  <xsd:schema xmlns:xsd="http://www.w3.org/2001/XMLSchema" xmlns:xs="http://www.w3.org/2001/XMLSchema" xmlns:p="http://schemas.microsoft.com/office/2006/metadata/properties" xmlns:ns2="7d32e603-8ff3-4867-984c-2c3491f9184a" xmlns:ns3="222c4b43-7267-49ea-8559-0426663af9e7" targetNamespace="http://schemas.microsoft.com/office/2006/metadata/properties" ma:root="true" ma:fieldsID="1b3120f5b75e7671f92c26afb66a6b0d" ns2:_="" ns3:_="">
    <xsd:import namespace="7d32e603-8ff3-4867-984c-2c3491f9184a"/>
    <xsd:import namespace="222c4b43-7267-49ea-8559-0426663af9e7"/>
    <xsd:element name="properties">
      <xsd:complexType>
        <xsd:sequence>
          <xsd:element name="documentManagement">
            <xsd:complexType>
              <xsd:all>
                <xsd:element ref="ns2:Sort_x0020_Item"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2e603-8ff3-4867-984c-2c3491f9184a" elementFormDefault="qualified">
    <xsd:import namespace="http://schemas.microsoft.com/office/2006/documentManagement/types"/>
    <xsd:import namespace="http://schemas.microsoft.com/office/infopath/2007/PartnerControls"/>
    <xsd:element name="Sort_x0020_Item" ma:index="8" nillable="true" ma:displayName="Sort Item" ma:decimals="0" ma:description="Sort column" ma:internalName="Sort_x0020_Item">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22c4b43-7267-49ea-8559-0426663af9e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ort_x0020_Item xmlns="7d32e603-8ff3-4867-984c-2c3491f9184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561C85-ED2C-4BD1-8061-313BF8ED4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2e603-8ff3-4867-984c-2c3491f9184a"/>
    <ds:schemaRef ds:uri="222c4b43-7267-49ea-8559-0426663af9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658A71-9674-43FC-AA8F-BD293E68F61E}">
  <ds:schemaRefs>
    <ds:schemaRef ds:uri="http://schemas.microsoft.com/office/2006/metadata/properties"/>
    <ds:schemaRef ds:uri="222c4b43-7267-49ea-8559-0426663af9e7"/>
    <ds:schemaRef ds:uri="http://purl.org/dc/terms/"/>
    <ds:schemaRef ds:uri="http://schemas.openxmlformats.org/package/2006/metadata/core-properties"/>
    <ds:schemaRef ds:uri="http://schemas.microsoft.com/office/2006/documentManagement/types"/>
    <ds:schemaRef ds:uri="7d32e603-8ff3-4867-984c-2c3491f9184a"/>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1A35660-C3FB-4861-8684-E3483093F142}">
  <ds:schemaRefs>
    <ds:schemaRef ds:uri="http://schemas.openxmlformats.org/officeDocument/2006/bibliography"/>
  </ds:schemaRefs>
</ds:datastoreItem>
</file>

<file path=customXml/itemProps4.xml><?xml version="1.0" encoding="utf-8"?>
<ds:datastoreItem xmlns:ds="http://schemas.openxmlformats.org/officeDocument/2006/customXml" ds:itemID="{C3733978-328B-4CEE-997D-AB7AFE2FCE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2007</Words>
  <Characters>11701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CERTIFICATIONS FOR AGREEMENT NO</vt:lpstr>
    </vt:vector>
  </TitlesOfParts>
  <Company>DARPA</Company>
  <LinksUpToDate>false</LinksUpToDate>
  <CharactersWithSpaces>13681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CERTIFICATIONS FOR AGREEMENT NO</dc:title>
  <dc:subject/>
  <dc:creator>acoleman</dc:creator>
  <cp:keywords/>
  <cp:lastModifiedBy>Ritch, James "Mac"</cp:lastModifiedBy>
  <cp:revision>2</cp:revision>
  <cp:lastPrinted>2000-11-15T19:12:00Z</cp:lastPrinted>
  <dcterms:created xsi:type="dcterms:W3CDTF">2023-08-11T18:39:00Z</dcterms:created>
  <dcterms:modified xsi:type="dcterms:W3CDTF">2023-08-11T18:39:00Z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1480252530</vt:i4>
  </property>
</Properties>
</file>